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color w:val="2f5496"/>
          <w:sz w:val="32"/>
          <w:szCs w:val="32"/>
        </w:rPr>
      </w:pPr>
      <w:bookmarkStart w:colFirst="0" w:colLast="0" w:name="_heading=h.jl6w98279r6h" w:id="0"/>
      <w:bookmarkEnd w:id="0"/>
      <w:r w:rsidDel="00000000" w:rsidR="00000000" w:rsidRPr="00000000">
        <w:rPr>
          <w:b w:val="1"/>
          <w:bCs w:val="1"/>
          <w:color w:val="222222"/>
          <w:sz w:val="28"/>
          <w:szCs w:val="28"/>
        </w:rPr>
        <w:drawing>
          <wp:inline distB="0" distT="0" distL="0" distR="0">
            <wp:extent cx="1432560" cy="922020"/>
            <wp:effectExtent b="0" l="0" r="0" t="0"/>
            <wp:docPr descr="C:\Users\ljaszewska\Downloads\thumbnail_image.png" id="1" name="image1.png"/>
            <a:graphic>
              <a:graphicData uri="http://schemas.openxmlformats.org/drawingml/2006/picture">
                <pic:pic>
                  <pic:nvPicPr>
                    <pic:cNvPr descr="C:\Users\ljaszewska\Downloads\thumbnail_imag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22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both"/>
        <w:rPr>
          <w:rFonts w:ascii="Calibri" w:cs="Calibri" w:eastAsia="Calibri" w:hAnsi="Calibri"/>
          <w:b w:val="0"/>
          <w:bCs w:val="0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both"/>
        <w:rPr>
          <w:rFonts w:ascii="Calibri" w:cs="Calibri" w:eastAsia="Calibri" w:hAnsi="Calibri"/>
          <w:b w:val="0"/>
          <w:bCs w:val="0"/>
          <w:color w:val="134f5c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34f5c"/>
          <w:sz w:val="28"/>
          <w:szCs w:val="28"/>
          <w:rtl w:val="0"/>
        </w:rPr>
        <w:t xml:space="preserve">Sala 600. Świadkowie Norymbergi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uanvkdx4sb1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Osiemdziesiąt lat po rozpoczęciu przełomowych procesów norymberskich (listopad 1945), audioserial dokumentalny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„Sala 600. Świadkowie Norymbergi”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przywraca głos tym, którzy stali na marginesie wielkiej historii. Zamiast skupiać się na zbrodniarzach czy samej rekonstrukcji przewodu sądowego, projekt oddaje mikrofon „niewidzialnym” uczestnikom: świadkom, tłumaczom, reporterom, psychologom i stenotypistkom. To opowieść o cenie, jaką płaci się za bycie świadkiem zła, oraz o sprawiedliwości, która trwa w języku i pamięci długo po ogłoszeniu wyroku.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inauguracji działalności Pilecki Institute USA zaprezentowany zostanie pilotażowo pierwszy odcinek z serii „Sala 600. Świadkowie Norymbergii”, zatytułowany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"Tadeusz Cyprian. Obserwator z Polski"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Cała produkcja (6 odcinków) będzie mieć swoją premierę jesienią 2026 r.Projket powstał we współpracy ze Studiem Reportażu Polskiego Radia.</w:t>
      </w:r>
    </w:p>
    <w:p w:rsidR="00000000" w:rsidDel="00000000" w:rsidP="00000000" w:rsidRDefault="00000000" w:rsidRPr="00000000" w14:paraId="00000006">
      <w:pPr>
        <w:pStyle w:val="Heading2"/>
        <w:rPr>
          <w:color w:val="134f5c"/>
        </w:rPr>
      </w:pPr>
      <w:r w:rsidDel="00000000" w:rsidR="00000000" w:rsidRPr="00000000">
        <w:rPr>
          <w:color w:val="134f5c"/>
          <w:rtl w:val="0"/>
        </w:rPr>
        <w:t xml:space="preserve">Koncepcja i realizacja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powstał jako koprodukcja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Instytutu Pileckiego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Studia Reportażu Polskiego Radia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Audioserial składa się 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odcinków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(25–30 minut każdy) i jest przygotowywany  w polskiej oraz angielskiej wersji językowej. Warstwa dźwiękowa wykracza poza zwykłą ilustrację tekstu. Narratorka,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Danuta Stenka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wciela się w postać „głosu przestrzeni” – sali sądowej nr 600, która „pamięta każde słowo”. Muzyka skomponowana przez wiolonczelistkę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Dobrawę Czocher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precyzyjne mikrodetale dźwiękowe (oddech, kroki, szelest papieru) budują intymną atmosferę bliskości i moralnego napięcia. W produkcji wykorzystano również unikalne materiały archiwalne Polskiego Radia oraz współczesne wywiady z pracownikami archiwum w Norymberdze.</w:t>
      </w:r>
    </w:p>
    <w:p w:rsidR="00000000" w:rsidDel="00000000" w:rsidP="00000000" w:rsidRDefault="00000000" w:rsidRPr="00000000" w14:paraId="00000008">
      <w:pPr>
        <w:pStyle w:val="Heading2"/>
        <w:rPr>
          <w:color w:val="134f5c"/>
        </w:rPr>
      </w:pPr>
      <w:r w:rsidDel="00000000" w:rsidR="00000000" w:rsidRPr="00000000">
        <w:rPr>
          <w:color w:val="134f5c"/>
          <w:rtl w:val="0"/>
        </w:rPr>
        <w:t xml:space="preserve">Sześć spojrzeń na Norymbergę: Struktura serii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odcinek koncentruje się na losach jednej postaci, badając wpływ procesu na jej życie zawodowe i moralne: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Obserwator – prof. Tadeusz Cyprian (PL):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Prawnik i fotograf, członek polskiej delegacji. Walczył o to, by polska sprawa została godnie zaprezentowana, widząc w Norymberdze moment, w którym wojna przestała być polityką, a stała się zbrodnią.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Świadek – Seweryna Szmaglewska (PL):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Pisarka i ocalała z Auschwitz. Jej zeznanie miało nadać procesowi ludzki wymiar w kontrze do suchych faktów. Odcinek analizuje trud mówienia o traumie w zderzeniu z wystawnym życiem towarzyskim toczącym się w kuluarach procesu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 – Douglas Kelley (USA):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Psychiatra badający nazistów, który doszedł do przerażającego wniosku o ich „normalności”. Jego badania podważyły poczucie bezpieczeństwa, wskazując, że granica zła przebiega wewnątrz każdego człowieka.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Reporter – Głos świata: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Perspektywa dziennikarza relacjonującego proces dla opinii międzynarodowej. Odcinek skupia się na wyzwaniu, jakim było przełożenie języka nienawiści i ogromu okrucieństwa na codzienne doniesienia prasowe, które musiały dotrzeć do sumień ludzi na całym świecie.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Tłumaczka – Głos sprawiedliwości: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Norymberga była narodzinami tłumaczeń symultanicznych. Bohaterka tego odcinka staje przed dylematem: jak zachować profesjonalną bezstronność i chłodny ton, stając się dosłownym „głosem” zbrodniarzy, których słowa musi przekładać na bieżąco?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Stenotypistka – Zapis pamięci: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Milcząca obecność w Sali 600. Jej zadaniem było utrwalenie każdego słowa, pauzy i emocji towarzyszącej procesowi. Odcinek bada fizyczny i psychiczny koszt bycia „żywym magnetofonem” dokumentującym najbardziej mroczne karty XX wieku.</w:t>
      </w:r>
    </w:p>
    <w:p w:rsidR="00000000" w:rsidDel="00000000" w:rsidP="00000000" w:rsidRDefault="00000000" w:rsidRPr="00000000" w14:paraId="00000010">
      <w:pPr>
        <w:pStyle w:val="Heading2"/>
        <w:rPr>
          <w:color w:val="134f5c"/>
        </w:rPr>
      </w:pPr>
      <w:r w:rsidDel="00000000" w:rsidR="00000000" w:rsidRPr="00000000">
        <w:rPr>
          <w:color w:val="134f5c"/>
          <w:rtl w:val="0"/>
        </w:rPr>
        <w:t xml:space="preserve">Kontekst historyczny i aktualność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Procesy norymberskie były kamieniem milowym prawa międzynarodowego, tworząc fundamenty odpowiedzialności za zbrodnie przeciwko ludzkości. Jednak, jak zauważa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 Joanna Nikel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Instytutu Pileckiego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Procesy te miały swoje ograniczenia – nie rozliczyły zbrodni drugiego agresora, Związku Sowieckiego, który w Norymberdze występował w roli oskarżyciela.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autorki scenariusza,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Martyny Wojtkowskiej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projekt jest próbą odpowiedzi na pytania </w:t>
        <w:br w:type="textWrapping"/>
        <w:t xml:space="preserve">o sprawiedliwość dziejową w obliczu współczesnych konfliktów. W świecie sporów </w:t>
        <w:br w:type="textWrapping"/>
        <w:t xml:space="preserve">o odpowiedzialność, „Sala 600” stawia pytania o to, jak język i interpretacja kształtują prawdę oraz kto naprawdę niesie ciężar sprawiedliwości.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Audioserial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„Sala 600. Świadkowie Norymbergi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Autorka scenariusza: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Martyna Wojtkowska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Narracja: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Danuta Stenka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Muzyka: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Dobrawa Czocher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Realizacja dźwięku: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Michał Czajkowski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Montaż: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Alicja Głów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Producent kreatywny: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Bartosz Panek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Producent wykonawczy: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Katarzyna Lesisz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Instytut Pileckiego, Studio Reportażu Polskiego Radia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319FC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 w:val="1"/>
    <w:unhideWhenUsed w:val="1"/>
    <w:rsid w:val="002319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citation-1775" w:customStyle="1">
    <w:name w:val="citation-1775"/>
    <w:basedOn w:val="Domylnaczcionkaakapitu"/>
    <w:rsid w:val="002319FC"/>
  </w:style>
  <w:style w:type="character" w:styleId="citation-1770" w:customStyle="1">
    <w:name w:val="citation-1770"/>
    <w:basedOn w:val="Domylnaczcionkaakapitu"/>
    <w:rsid w:val="002319FC"/>
  </w:style>
  <w:style w:type="character" w:styleId="citation-1768" w:customStyle="1">
    <w:name w:val="citation-1768"/>
    <w:basedOn w:val="Domylnaczcionkaakapitu"/>
    <w:rsid w:val="002319FC"/>
  </w:style>
  <w:style w:type="character" w:styleId="citation-1767" w:customStyle="1">
    <w:name w:val="citation-1767"/>
    <w:basedOn w:val="Domylnaczcionkaakapitu"/>
    <w:rsid w:val="002319FC"/>
  </w:style>
  <w:style w:type="character" w:styleId="citation-1764" w:customStyle="1">
    <w:name w:val="citation-1764"/>
    <w:basedOn w:val="Domylnaczcionkaakapitu"/>
    <w:rsid w:val="002319FC"/>
  </w:style>
  <w:style w:type="character" w:styleId="citation-1761" w:customStyle="1">
    <w:name w:val="citation-1761"/>
    <w:basedOn w:val="Domylnaczcionkaakapitu"/>
    <w:rsid w:val="002319FC"/>
  </w:style>
  <w:style w:type="character" w:styleId="citation-1758" w:customStyle="1">
    <w:name w:val="citation-1758"/>
    <w:basedOn w:val="Domylnaczcionkaakapitu"/>
    <w:rsid w:val="002319FC"/>
  </w:style>
  <w:style w:type="character" w:styleId="citation-1756" w:customStyle="1">
    <w:name w:val="citation-1756"/>
    <w:basedOn w:val="Domylnaczcionkaakapitu"/>
    <w:rsid w:val="002319FC"/>
  </w:style>
  <w:style w:type="character" w:styleId="citation-1753" w:customStyle="1">
    <w:name w:val="citation-1753"/>
    <w:basedOn w:val="Domylnaczcionkaakapitu"/>
    <w:rsid w:val="002319FC"/>
  </w:style>
  <w:style w:type="character" w:styleId="citation-1750" w:customStyle="1">
    <w:name w:val="citation-1750"/>
    <w:basedOn w:val="Domylnaczcionkaakapitu"/>
    <w:rsid w:val="002319FC"/>
  </w:style>
  <w:style w:type="character" w:styleId="citation-1748" w:customStyle="1">
    <w:name w:val="citation-1748"/>
    <w:basedOn w:val="Domylnaczcionkaakapitu"/>
    <w:rsid w:val="002319FC"/>
  </w:style>
  <w:style w:type="character" w:styleId="citation-1746" w:customStyle="1">
    <w:name w:val="citation-1746"/>
    <w:basedOn w:val="Domylnaczcionkaakapitu"/>
    <w:rsid w:val="002319FC"/>
  </w:style>
  <w:style w:type="character" w:styleId="citation-1744" w:customStyle="1">
    <w:name w:val="citation-1744"/>
    <w:basedOn w:val="Domylnaczcionkaakapitu"/>
    <w:rsid w:val="002319FC"/>
  </w:style>
  <w:style w:type="character" w:styleId="citation-1742" w:customStyle="1">
    <w:name w:val="citation-1742"/>
    <w:basedOn w:val="Domylnaczcionkaakapitu"/>
    <w:rsid w:val="002319FC"/>
  </w:style>
  <w:style w:type="character" w:styleId="citation-1740" w:customStyle="1">
    <w:name w:val="citation-1740"/>
    <w:basedOn w:val="Domylnaczcionkaakapitu"/>
    <w:rsid w:val="002319FC"/>
  </w:style>
  <w:style w:type="character" w:styleId="citation-1738" w:customStyle="1">
    <w:name w:val="citation-1738"/>
    <w:basedOn w:val="Domylnaczcionkaakapitu"/>
    <w:rsid w:val="002319FC"/>
  </w:style>
  <w:style w:type="character" w:styleId="citation-1736" w:customStyle="1">
    <w:name w:val="citation-1736"/>
    <w:basedOn w:val="Domylnaczcionkaakapitu"/>
    <w:rsid w:val="002319FC"/>
  </w:style>
  <w:style w:type="character" w:styleId="citation-1734" w:customStyle="1">
    <w:name w:val="citation-1734"/>
    <w:basedOn w:val="Domylnaczcionkaakapitu"/>
    <w:rsid w:val="002319FC"/>
  </w:style>
  <w:style w:type="character" w:styleId="citation-1732" w:customStyle="1">
    <w:name w:val="citation-1732"/>
    <w:basedOn w:val="Domylnaczcionkaakapitu"/>
    <w:rsid w:val="002319FC"/>
  </w:style>
  <w:style w:type="character" w:styleId="citation-1730" w:customStyle="1">
    <w:name w:val="citation-1730"/>
    <w:basedOn w:val="Domylnaczcionkaakapitu"/>
    <w:rsid w:val="002319FC"/>
  </w:style>
  <w:style w:type="character" w:styleId="citation-1729" w:customStyle="1">
    <w:name w:val="citation-1729"/>
    <w:basedOn w:val="Domylnaczcionkaakapitu"/>
    <w:rsid w:val="002319FC"/>
  </w:style>
  <w:style w:type="character" w:styleId="Nagwek1Znak" w:customStyle="1">
    <w:name w:val="Nagłówek 1 Znak"/>
    <w:basedOn w:val="Domylnaczcionkaakapitu"/>
    <w:link w:val="Nagwek1"/>
    <w:uiPriority w:val="9"/>
    <w:rsid w:val="002319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citation-1938" w:customStyle="1">
    <w:name w:val="citation-1938"/>
    <w:basedOn w:val="Domylnaczcionkaakapitu"/>
    <w:rsid w:val="002319FC"/>
  </w:style>
  <w:style w:type="character" w:styleId="citation-1937" w:customStyle="1">
    <w:name w:val="citation-1937"/>
    <w:basedOn w:val="Domylnaczcionkaakapitu"/>
    <w:rsid w:val="002319FC"/>
  </w:style>
  <w:style w:type="character" w:styleId="citation-1936" w:customStyle="1">
    <w:name w:val="citation-1936"/>
    <w:basedOn w:val="Domylnaczcionkaakapitu"/>
    <w:rsid w:val="002319FC"/>
  </w:style>
  <w:style w:type="character" w:styleId="citation-1935" w:customStyle="1">
    <w:name w:val="citation-1935"/>
    <w:basedOn w:val="Domylnaczcionkaakapitu"/>
    <w:rsid w:val="002319FC"/>
  </w:style>
  <w:style w:type="character" w:styleId="citation-1934" w:customStyle="1">
    <w:name w:val="citation-1934"/>
    <w:basedOn w:val="Domylnaczcionkaakapitu"/>
    <w:rsid w:val="002319FC"/>
  </w:style>
  <w:style w:type="character" w:styleId="citation-1933" w:customStyle="1">
    <w:name w:val="citation-1933"/>
    <w:basedOn w:val="Domylnaczcionkaakapitu"/>
    <w:rsid w:val="002319FC"/>
  </w:style>
  <w:style w:type="character" w:styleId="citation-1932" w:customStyle="1">
    <w:name w:val="citation-1932"/>
    <w:basedOn w:val="Domylnaczcionkaakapitu"/>
    <w:rsid w:val="002319FC"/>
  </w:style>
  <w:style w:type="character" w:styleId="citation-1931" w:customStyle="1">
    <w:name w:val="citation-1931"/>
    <w:basedOn w:val="Domylnaczcionkaakapitu"/>
    <w:rsid w:val="002319FC"/>
  </w:style>
  <w:style w:type="character" w:styleId="citation-1930" w:customStyle="1">
    <w:name w:val="citation-1930"/>
    <w:basedOn w:val="Domylnaczcionkaakapitu"/>
    <w:rsid w:val="002319FC"/>
  </w:style>
  <w:style w:type="character" w:styleId="citation-1929" w:customStyle="1">
    <w:name w:val="citation-1929"/>
    <w:basedOn w:val="Domylnaczcionkaakapitu"/>
    <w:rsid w:val="002319FC"/>
  </w:style>
  <w:style w:type="character" w:styleId="citation-1928" w:customStyle="1">
    <w:name w:val="citation-1928"/>
    <w:basedOn w:val="Domylnaczcionkaakapitu"/>
    <w:rsid w:val="002319FC"/>
  </w:style>
  <w:style w:type="character" w:styleId="citation-1927" w:customStyle="1">
    <w:name w:val="citation-1927"/>
    <w:basedOn w:val="Domylnaczcionkaakapitu"/>
    <w:rsid w:val="002319FC"/>
  </w:style>
  <w:style w:type="character" w:styleId="citation-1926" w:customStyle="1">
    <w:name w:val="citation-1926"/>
    <w:basedOn w:val="Domylnaczcionkaakapitu"/>
    <w:rsid w:val="002319FC"/>
  </w:style>
  <w:style w:type="character" w:styleId="citation-1925" w:customStyle="1">
    <w:name w:val="citation-1925"/>
    <w:basedOn w:val="Domylnaczcionkaakapitu"/>
    <w:rsid w:val="002319FC"/>
  </w:style>
  <w:style w:type="character" w:styleId="citation-1924" w:customStyle="1">
    <w:name w:val="citation-1924"/>
    <w:basedOn w:val="Domylnaczcionkaakapitu"/>
    <w:rsid w:val="002319FC"/>
  </w:style>
  <w:style w:type="character" w:styleId="citation-1923" w:customStyle="1">
    <w:name w:val="citation-1923"/>
    <w:basedOn w:val="Domylnaczcionkaakapitu"/>
    <w:rsid w:val="002319FC"/>
  </w:style>
  <w:style w:type="character" w:styleId="citation-1922" w:customStyle="1">
    <w:name w:val="citation-1922"/>
    <w:basedOn w:val="Domylnaczcionkaakapitu"/>
    <w:rsid w:val="002319FC"/>
  </w:style>
  <w:style w:type="character" w:styleId="citation-1921" w:customStyle="1">
    <w:name w:val="citation-1921"/>
    <w:basedOn w:val="Domylnaczcionkaakapitu"/>
    <w:rsid w:val="002319FC"/>
  </w:style>
  <w:style w:type="character" w:styleId="citation-1920" w:customStyle="1">
    <w:name w:val="citation-1920"/>
    <w:basedOn w:val="Domylnaczcionkaakapitu"/>
    <w:rsid w:val="002319FC"/>
  </w:style>
  <w:style w:type="character" w:styleId="citation-1919" w:customStyle="1">
    <w:name w:val="citation-1919"/>
    <w:basedOn w:val="Domylnaczcionkaakapitu"/>
    <w:rsid w:val="002319FC"/>
  </w:style>
  <w:style w:type="character" w:styleId="citation-1918" w:customStyle="1">
    <w:name w:val="citation-1918"/>
    <w:basedOn w:val="Domylnaczcionkaakapitu"/>
    <w:rsid w:val="002319FC"/>
  </w:style>
  <w:style w:type="character" w:styleId="citation-1917" w:customStyle="1">
    <w:name w:val="citation-1917"/>
    <w:basedOn w:val="Domylnaczcionkaakapitu"/>
    <w:rsid w:val="002319FC"/>
  </w:style>
  <w:style w:type="character" w:styleId="citation-1916" w:customStyle="1">
    <w:name w:val="citation-1916"/>
    <w:basedOn w:val="Domylnaczcionkaakapitu"/>
    <w:rsid w:val="002319FC"/>
  </w:style>
  <w:style w:type="character" w:styleId="citation-1915" w:customStyle="1">
    <w:name w:val="citation-1915"/>
    <w:basedOn w:val="Domylnaczcionkaakapitu"/>
    <w:rsid w:val="002319FC"/>
  </w:style>
  <w:style w:type="character" w:styleId="citation-1914" w:customStyle="1">
    <w:name w:val="citation-1914"/>
    <w:basedOn w:val="Domylnaczcionkaakapitu"/>
    <w:rsid w:val="002319FC"/>
  </w:style>
  <w:style w:type="character" w:styleId="citation-1913" w:customStyle="1">
    <w:name w:val="citation-1913"/>
    <w:basedOn w:val="Domylnaczcionkaakapitu"/>
    <w:rsid w:val="002319FC"/>
  </w:style>
  <w:style w:type="character" w:styleId="citation-1912" w:customStyle="1">
    <w:name w:val="citation-1912"/>
    <w:basedOn w:val="Domylnaczcionkaakapitu"/>
    <w:rsid w:val="002319FC"/>
  </w:style>
  <w:style w:type="character" w:styleId="Nagwek4Znak" w:customStyle="1">
    <w:name w:val="Nagłówek 4 Znak"/>
    <w:basedOn w:val="Domylnaczcionkaakapitu"/>
    <w:link w:val="Nagwek4"/>
    <w:uiPriority w:val="9"/>
    <w:rsid w:val="006527A8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Nagwek2Znak" w:customStyle="1">
    <w:name w:val="Nagłówek 2 Znak"/>
    <w:basedOn w:val="Domylnaczcionkaakapitu"/>
    <w:link w:val="Nagwek2"/>
    <w:uiPriority w:val="9"/>
    <w:rsid w:val="006527A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RA9pcZWBBC45RUIYI6cb+01dQ==">CgMxLjAyDmguamw2dzk4Mjc5cjZoMg5oLjd1YW52a2R4NHNiMTgAciExVDZldEVJSkpwQ3dWUXlHVzVFc3NoOWgzRjFneUF3YWQ=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2026-03-10T10:48:00Z</dcterms:created>
  <dc:creator>Jan Sochaczewski</dc:creator>
</cp:coreProperties>
</file>